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6FA22426" w:rsidR="00284286" w:rsidRDefault="000A39E0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6678B5F" wp14:editId="046A047A">
          <wp:simplePos x="0" y="0"/>
          <wp:positionH relativeFrom="column">
            <wp:posOffset>603250</wp:posOffset>
          </wp:positionH>
          <wp:positionV relativeFrom="paragraph">
            <wp:posOffset>-49051</wp:posOffset>
          </wp:positionV>
          <wp:extent cx="5359879" cy="6573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tt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879" cy="65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3A51AD5B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0A39E0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F598-689B-4DF3-B673-9AF6B5AA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2018-04-11T09:20:00Z</dcterms:modified>
</cp:coreProperties>
</file>